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Default="0053752A" w:rsidP="00312470">
      <w:pPr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06.12.2021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355-п</w:t>
      </w: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F86731" w:rsidRDefault="00F86731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Pr="004E48A8" w:rsidRDefault="005667E9" w:rsidP="00312470">
      <w:pPr>
        <w:ind w:right="3827"/>
        <w:jc w:val="both"/>
        <w:rPr>
          <w:sz w:val="28"/>
          <w:szCs w:val="28"/>
        </w:rPr>
      </w:pPr>
      <w:r w:rsidRPr="004E48A8">
        <w:rPr>
          <w:sz w:val="28"/>
          <w:szCs w:val="28"/>
        </w:rPr>
        <w:t xml:space="preserve">О внесении изменений в постановление </w:t>
      </w:r>
    </w:p>
    <w:p w:rsidR="005667E9" w:rsidRPr="004E48A8" w:rsidRDefault="005667E9" w:rsidP="00312470">
      <w:pPr>
        <w:ind w:right="3827"/>
        <w:jc w:val="both"/>
        <w:rPr>
          <w:sz w:val="28"/>
          <w:szCs w:val="28"/>
        </w:rPr>
      </w:pPr>
      <w:r w:rsidRPr="004E48A8">
        <w:rPr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4E48A8">
        <w:rPr>
          <w:sz w:val="28"/>
          <w:szCs w:val="28"/>
        </w:rPr>
        <w:t xml:space="preserve"> № 170-п</w:t>
      </w:r>
      <w:r w:rsidRPr="004E48A8">
        <w:rPr>
          <w:sz w:val="28"/>
          <w:szCs w:val="28"/>
        </w:rPr>
        <w:t xml:space="preserve"> «Об утверждении муниципальной программы «Строительство объектов социальной сферы на территории Балашовского муниципального района в 2020-2024 годах»</w:t>
      </w:r>
      <w:bookmarkEnd w:id="0"/>
    </w:p>
    <w:p w:rsidR="005667E9" w:rsidRPr="004E48A8" w:rsidRDefault="005667E9" w:rsidP="00312470">
      <w:pPr>
        <w:rPr>
          <w:sz w:val="28"/>
          <w:szCs w:val="28"/>
        </w:rPr>
      </w:pPr>
    </w:p>
    <w:p w:rsidR="005667E9" w:rsidRPr="004E48A8" w:rsidRDefault="005667E9" w:rsidP="00312470">
      <w:pPr>
        <w:ind w:firstLine="567"/>
        <w:jc w:val="both"/>
        <w:rPr>
          <w:b w:val="0"/>
          <w:bCs w:val="0"/>
          <w:sz w:val="28"/>
          <w:szCs w:val="28"/>
        </w:rPr>
      </w:pPr>
      <w:r w:rsidRPr="004E48A8">
        <w:rPr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4E48A8">
        <w:rPr>
          <w:b w:val="0"/>
          <w:bCs w:val="0"/>
          <w:sz w:val="28"/>
          <w:szCs w:val="28"/>
        </w:rPr>
        <w:t>ом</w:t>
      </w:r>
      <w:r w:rsidRPr="004E48A8">
        <w:rPr>
          <w:b w:val="0"/>
          <w:bCs w:val="0"/>
          <w:sz w:val="28"/>
          <w:szCs w:val="28"/>
        </w:rPr>
        <w:t xml:space="preserve"> Балашовского муниципального района, </w:t>
      </w:r>
      <w:r w:rsidRPr="004E48A8">
        <w:rPr>
          <w:b w:val="0"/>
          <w:bCs w:val="0"/>
          <w:color w:val="000000"/>
          <w:sz w:val="28"/>
          <w:szCs w:val="28"/>
        </w:rPr>
        <w:t>администрация Балашовского муниципального района</w:t>
      </w:r>
    </w:p>
    <w:p w:rsidR="005667E9" w:rsidRPr="004E48A8" w:rsidRDefault="005667E9" w:rsidP="00312470">
      <w:pPr>
        <w:ind w:firstLine="567"/>
        <w:jc w:val="both"/>
        <w:rPr>
          <w:b w:val="0"/>
          <w:bCs w:val="0"/>
          <w:sz w:val="22"/>
          <w:szCs w:val="22"/>
        </w:rPr>
      </w:pPr>
    </w:p>
    <w:p w:rsidR="005667E9" w:rsidRPr="004E48A8" w:rsidRDefault="005667E9" w:rsidP="00312470">
      <w:pPr>
        <w:ind w:firstLine="567"/>
        <w:jc w:val="both"/>
        <w:rPr>
          <w:b w:val="0"/>
          <w:bCs w:val="0"/>
          <w:sz w:val="28"/>
          <w:szCs w:val="28"/>
        </w:rPr>
      </w:pPr>
    </w:p>
    <w:p w:rsidR="005667E9" w:rsidRPr="004E48A8" w:rsidRDefault="005667E9" w:rsidP="00312470">
      <w:pPr>
        <w:ind w:firstLine="567"/>
        <w:jc w:val="center"/>
        <w:rPr>
          <w:bCs w:val="0"/>
          <w:sz w:val="28"/>
          <w:szCs w:val="28"/>
        </w:rPr>
      </w:pPr>
      <w:r w:rsidRPr="004E48A8">
        <w:rPr>
          <w:bCs w:val="0"/>
          <w:sz w:val="28"/>
          <w:szCs w:val="28"/>
        </w:rPr>
        <w:t>ПОСТАНОВЛЯЕТ:</w:t>
      </w:r>
    </w:p>
    <w:p w:rsidR="005667E9" w:rsidRPr="004E48A8" w:rsidRDefault="005667E9" w:rsidP="00312470">
      <w:pPr>
        <w:ind w:firstLine="567"/>
        <w:jc w:val="both"/>
        <w:rPr>
          <w:b w:val="0"/>
          <w:bCs w:val="0"/>
          <w:sz w:val="22"/>
          <w:szCs w:val="22"/>
        </w:rPr>
      </w:pPr>
    </w:p>
    <w:p w:rsidR="005667E9" w:rsidRPr="004E48A8" w:rsidRDefault="005667E9" w:rsidP="00312470">
      <w:pPr>
        <w:ind w:firstLine="567"/>
        <w:jc w:val="both"/>
        <w:rPr>
          <w:b w:val="0"/>
          <w:bCs w:val="0"/>
          <w:sz w:val="8"/>
          <w:szCs w:val="8"/>
        </w:rPr>
      </w:pPr>
    </w:p>
    <w:p w:rsidR="005667E9" w:rsidRPr="004E48A8" w:rsidRDefault="005667E9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4E48A8">
        <w:rPr>
          <w:b w:val="0"/>
          <w:bCs w:val="0"/>
          <w:color w:val="000000"/>
          <w:sz w:val="28"/>
          <w:szCs w:val="28"/>
        </w:rPr>
        <w:t xml:space="preserve">1. </w:t>
      </w:r>
      <w:r w:rsidR="003E5854" w:rsidRPr="004E48A8">
        <w:rPr>
          <w:b w:val="0"/>
          <w:bCs w:val="0"/>
          <w:color w:val="000000"/>
          <w:sz w:val="28"/>
          <w:szCs w:val="28"/>
        </w:rPr>
        <w:t xml:space="preserve">Внести изменения в </w:t>
      </w:r>
      <w:r w:rsidR="00D10454" w:rsidRPr="004E48A8">
        <w:rPr>
          <w:b w:val="0"/>
          <w:bCs w:val="0"/>
          <w:color w:val="000000"/>
          <w:sz w:val="28"/>
          <w:szCs w:val="28"/>
        </w:rPr>
        <w:t>п</w:t>
      </w:r>
      <w:r w:rsidRPr="004E48A8">
        <w:rPr>
          <w:b w:val="0"/>
          <w:bCs w:val="0"/>
          <w:color w:val="00000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4E48A8">
        <w:rPr>
          <w:b w:val="0"/>
          <w:bCs w:val="0"/>
          <w:color w:val="000000"/>
          <w:sz w:val="28"/>
          <w:szCs w:val="28"/>
        </w:rPr>
        <w:t xml:space="preserve"> № 170-п</w:t>
      </w:r>
      <w:r w:rsidRPr="004E48A8">
        <w:rPr>
          <w:b w:val="0"/>
          <w:bCs w:val="0"/>
          <w:color w:val="000000"/>
          <w:sz w:val="28"/>
          <w:szCs w:val="28"/>
        </w:rPr>
        <w:t xml:space="preserve"> «Об утверждении муниципальной программы «</w:t>
      </w:r>
      <w:r w:rsidRPr="004E48A8">
        <w:rPr>
          <w:b w:val="0"/>
          <w:color w:val="000000"/>
          <w:sz w:val="28"/>
          <w:szCs w:val="28"/>
        </w:rPr>
        <w:t>Строительство объектов социальной сферы на территории Балашовского муниципального района в 2020-2024 годах</w:t>
      </w:r>
      <w:r w:rsidRPr="004E48A8">
        <w:rPr>
          <w:b w:val="0"/>
          <w:bCs w:val="0"/>
          <w:color w:val="000000"/>
          <w:sz w:val="28"/>
          <w:szCs w:val="28"/>
        </w:rPr>
        <w:t>»:</w:t>
      </w:r>
    </w:p>
    <w:p w:rsidR="00050A2F" w:rsidRPr="004E48A8" w:rsidRDefault="00050A2F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4E48A8">
        <w:rPr>
          <w:b w:val="0"/>
          <w:bCs w:val="0"/>
          <w:color w:val="000000"/>
          <w:sz w:val="28"/>
          <w:szCs w:val="28"/>
        </w:rPr>
        <w:t xml:space="preserve">1.1. </w:t>
      </w:r>
      <w:r w:rsidR="005D0607" w:rsidRPr="004E48A8">
        <w:rPr>
          <w:b w:val="0"/>
          <w:bCs w:val="0"/>
          <w:color w:val="000000"/>
          <w:sz w:val="28"/>
          <w:szCs w:val="28"/>
        </w:rPr>
        <w:t>Приложение к м</w:t>
      </w:r>
      <w:r w:rsidRPr="004E48A8">
        <w:rPr>
          <w:b w:val="0"/>
          <w:sz w:val="28"/>
          <w:szCs w:val="28"/>
        </w:rPr>
        <w:t>униципальн</w:t>
      </w:r>
      <w:r w:rsidR="005D0607" w:rsidRPr="004E48A8">
        <w:rPr>
          <w:b w:val="0"/>
          <w:sz w:val="28"/>
          <w:szCs w:val="28"/>
        </w:rPr>
        <w:t>ой</w:t>
      </w:r>
      <w:r w:rsidRPr="004E48A8">
        <w:rPr>
          <w:b w:val="0"/>
          <w:sz w:val="28"/>
          <w:szCs w:val="28"/>
        </w:rPr>
        <w:t xml:space="preserve"> программ</w:t>
      </w:r>
      <w:r w:rsidR="005D0607" w:rsidRPr="004E48A8">
        <w:rPr>
          <w:b w:val="0"/>
          <w:sz w:val="28"/>
          <w:szCs w:val="28"/>
        </w:rPr>
        <w:t>е</w:t>
      </w:r>
      <w:r w:rsidRPr="004E48A8">
        <w:rPr>
          <w:b w:val="0"/>
          <w:sz w:val="28"/>
          <w:szCs w:val="28"/>
        </w:rPr>
        <w:t xml:space="preserve"> </w:t>
      </w:r>
      <w:r w:rsidRPr="004E48A8">
        <w:rPr>
          <w:b w:val="0"/>
          <w:bCs w:val="0"/>
          <w:color w:val="000000"/>
          <w:sz w:val="28"/>
          <w:szCs w:val="28"/>
        </w:rPr>
        <w:t>изложить в новой редакции, согласно приложению №1 к настоящему постановлению.</w:t>
      </w:r>
    </w:p>
    <w:p w:rsidR="003E5854" w:rsidRPr="004E48A8" w:rsidRDefault="005667E9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4E48A8">
        <w:rPr>
          <w:b w:val="0"/>
          <w:bCs w:val="0"/>
          <w:color w:val="000000"/>
          <w:sz w:val="28"/>
          <w:szCs w:val="28"/>
        </w:rPr>
        <w:t xml:space="preserve">2. </w:t>
      </w:r>
      <w:r w:rsidR="003E5854" w:rsidRPr="004E48A8">
        <w:rPr>
          <w:b w:val="0"/>
          <w:bCs w:val="0"/>
          <w:color w:val="000000"/>
          <w:sz w:val="28"/>
          <w:szCs w:val="28"/>
        </w:rPr>
        <w:t xml:space="preserve">Отделу информации и общественных отношений администрации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="003E5854" w:rsidRPr="004E48A8">
          <w:rPr>
            <w:b w:val="0"/>
            <w:bCs w:val="0"/>
            <w:color w:val="000000"/>
            <w:sz w:val="28"/>
            <w:szCs w:val="28"/>
          </w:rPr>
          <w:t>www.balashov-tv.ru</w:t>
        </w:r>
      </w:hyperlink>
      <w:r w:rsidR="003E5854" w:rsidRPr="004E48A8">
        <w:rPr>
          <w:b w:val="0"/>
          <w:bCs w:val="0"/>
          <w:color w:val="00000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3E5854" w:rsidRPr="004E48A8" w:rsidRDefault="003E5854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4E48A8">
        <w:rPr>
          <w:b w:val="0"/>
          <w:bCs w:val="0"/>
          <w:color w:val="000000"/>
          <w:sz w:val="28"/>
          <w:szCs w:val="28"/>
        </w:rPr>
        <w:t xml:space="preserve">3. Настоящее постановление вступает в силу с момента подписания и опубликования (обнародования). </w:t>
      </w:r>
    </w:p>
    <w:p w:rsidR="003E5854" w:rsidRPr="004E48A8" w:rsidRDefault="003E5854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4E48A8">
        <w:rPr>
          <w:b w:val="0"/>
          <w:bCs w:val="0"/>
          <w:color w:val="000000"/>
          <w:sz w:val="28"/>
          <w:szCs w:val="28"/>
        </w:rPr>
        <w:lastRenderedPageBreak/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4E48A8" w:rsidRDefault="005667E9" w:rsidP="00312470">
      <w:pPr>
        <w:widowControl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320368" w:rsidRPr="004E48A8" w:rsidRDefault="00320368" w:rsidP="00312470">
      <w:pPr>
        <w:widowControl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5667E9" w:rsidRPr="004E48A8" w:rsidRDefault="005667E9" w:rsidP="00312470">
      <w:pPr>
        <w:jc w:val="both"/>
        <w:rPr>
          <w:b w:val="0"/>
          <w:bCs w:val="0"/>
          <w:sz w:val="16"/>
          <w:szCs w:val="16"/>
        </w:rPr>
      </w:pPr>
    </w:p>
    <w:p w:rsidR="00191B86" w:rsidRDefault="00191B86" w:rsidP="00191B86">
      <w:pPr>
        <w:pStyle w:val="23"/>
        <w:ind w:firstLine="0"/>
        <w:jc w:val="both"/>
        <w:rPr>
          <w:b/>
          <w:bCs/>
        </w:rPr>
      </w:pPr>
      <w:r>
        <w:rPr>
          <w:b/>
          <w:bCs/>
        </w:rPr>
        <w:t xml:space="preserve">И.о. главы Балашовского </w:t>
      </w:r>
    </w:p>
    <w:p w:rsidR="00191B86" w:rsidRDefault="00191B86" w:rsidP="00191B86">
      <w:pPr>
        <w:pStyle w:val="23"/>
        <w:ind w:firstLine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М.И. Захаров</w:t>
      </w: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4E48A8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B436EF" w:rsidRPr="004E48A8" w:rsidRDefault="00261B0C" w:rsidP="00312470">
      <w:pPr>
        <w:jc w:val="both"/>
        <w:rPr>
          <w:b w:val="0"/>
          <w:bCs w:val="0"/>
          <w:color w:val="111111"/>
          <w:sz w:val="28"/>
          <w:szCs w:val="28"/>
        </w:rPr>
        <w:sectPr w:rsidR="00B436EF" w:rsidRPr="004E48A8" w:rsidSect="00CA124E">
          <w:pgSz w:w="11906" w:h="16838"/>
          <w:pgMar w:top="1134" w:right="851" w:bottom="1134" w:left="992" w:header="709" w:footer="709" w:gutter="0"/>
          <w:pgNumType w:start="1"/>
          <w:cols w:space="708"/>
          <w:titlePg/>
          <w:docGrid w:linePitch="360"/>
        </w:sectPr>
      </w:pPr>
      <w:r w:rsidRPr="004E48A8">
        <w:rPr>
          <w:bCs w:val="0"/>
          <w:color w:val="111111"/>
          <w:sz w:val="28"/>
          <w:szCs w:val="28"/>
        </w:rPr>
        <w:t xml:space="preserve"> </w:t>
      </w:r>
    </w:p>
    <w:p w:rsidR="0097314C" w:rsidRDefault="0097314C" w:rsidP="0097314C">
      <w:pPr>
        <w:tabs>
          <w:tab w:val="left" w:pos="14742"/>
          <w:tab w:val="left" w:pos="14884"/>
        </w:tabs>
        <w:ind w:left="10050" w:right="536"/>
        <w:rPr>
          <w:sz w:val="24"/>
          <w:szCs w:val="24"/>
        </w:rPr>
      </w:pPr>
      <w:bookmarkStart w:id="1" w:name="_GoBack"/>
      <w:bookmarkEnd w:id="1"/>
      <w:r w:rsidRPr="005172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№1 </w:t>
      </w:r>
      <w:r w:rsidRPr="005172EE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Балашовского муниципального района </w:t>
      </w:r>
    </w:p>
    <w:p w:rsidR="0097314C" w:rsidRPr="005172EE" w:rsidRDefault="0097314C" w:rsidP="0097314C">
      <w:pPr>
        <w:tabs>
          <w:tab w:val="left" w:pos="14742"/>
          <w:tab w:val="left" w:pos="14884"/>
        </w:tabs>
        <w:ind w:left="10050" w:right="536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3752A">
        <w:rPr>
          <w:sz w:val="24"/>
          <w:szCs w:val="24"/>
        </w:rPr>
        <w:t>06</w:t>
      </w:r>
      <w:r>
        <w:rPr>
          <w:sz w:val="24"/>
          <w:szCs w:val="24"/>
        </w:rPr>
        <w:t>_» декабря 2021г. №_</w:t>
      </w:r>
      <w:r w:rsidR="0053752A">
        <w:rPr>
          <w:sz w:val="24"/>
          <w:szCs w:val="24"/>
        </w:rPr>
        <w:t>355-п</w:t>
      </w:r>
      <w:r>
        <w:rPr>
          <w:sz w:val="24"/>
          <w:szCs w:val="24"/>
        </w:rPr>
        <w:t>__</w:t>
      </w:r>
      <w:r w:rsidRPr="005172EE">
        <w:rPr>
          <w:sz w:val="24"/>
          <w:szCs w:val="24"/>
        </w:rPr>
        <w:t xml:space="preserve"> </w:t>
      </w:r>
    </w:p>
    <w:p w:rsidR="005667E9" w:rsidRPr="004E48A8" w:rsidRDefault="005667E9" w:rsidP="00312470">
      <w:pPr>
        <w:ind w:left="12616"/>
      </w:pPr>
    </w:p>
    <w:p w:rsidR="00A00FFB" w:rsidRPr="004E48A8" w:rsidRDefault="005667E9" w:rsidP="00312470">
      <w:pPr>
        <w:ind w:firstLine="709"/>
        <w:jc w:val="center"/>
        <w:rPr>
          <w:bCs w:val="0"/>
          <w:sz w:val="24"/>
          <w:szCs w:val="24"/>
        </w:rPr>
      </w:pPr>
      <w:r w:rsidRPr="004E48A8">
        <w:rPr>
          <w:bCs w:val="0"/>
          <w:sz w:val="24"/>
          <w:szCs w:val="24"/>
        </w:rPr>
        <w:t xml:space="preserve">Перечень программных мероприятий </w:t>
      </w:r>
      <w:r w:rsidR="00F51BFF" w:rsidRPr="004E48A8">
        <w:rPr>
          <w:bCs w:val="0"/>
          <w:sz w:val="24"/>
          <w:szCs w:val="24"/>
        </w:rPr>
        <w:t xml:space="preserve">по муниципальной программе «Строительство объектов социальной сферы </w:t>
      </w:r>
    </w:p>
    <w:p w:rsidR="005667E9" w:rsidRPr="004E48A8" w:rsidRDefault="00F51BFF" w:rsidP="00312470">
      <w:pPr>
        <w:ind w:firstLine="709"/>
        <w:jc w:val="center"/>
        <w:rPr>
          <w:bCs w:val="0"/>
          <w:sz w:val="24"/>
          <w:szCs w:val="24"/>
        </w:rPr>
      </w:pPr>
      <w:r w:rsidRPr="004E48A8">
        <w:rPr>
          <w:bCs w:val="0"/>
          <w:sz w:val="24"/>
          <w:szCs w:val="24"/>
        </w:rPr>
        <w:t>на территории Балашовского муниципального района в 2020-2024 годах»</w:t>
      </w:r>
    </w:p>
    <w:p w:rsidR="009C7605" w:rsidRPr="004E48A8" w:rsidRDefault="009C7605" w:rsidP="00312470">
      <w:pPr>
        <w:ind w:firstLine="709"/>
        <w:jc w:val="center"/>
        <w:rPr>
          <w:bCs w:val="0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1701"/>
        <w:gridCol w:w="992"/>
        <w:gridCol w:w="1275"/>
        <w:gridCol w:w="851"/>
        <w:gridCol w:w="709"/>
        <w:gridCol w:w="709"/>
        <w:gridCol w:w="1134"/>
        <w:gridCol w:w="2267"/>
      </w:tblGrid>
      <w:tr w:rsidR="00B95F11" w:rsidRPr="004E48A8">
        <w:trPr>
          <w:trHeight w:val="20"/>
        </w:trPr>
        <w:tc>
          <w:tcPr>
            <w:tcW w:w="568" w:type="dxa"/>
            <w:vMerge w:val="restart"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№</w:t>
            </w:r>
          </w:p>
          <w:p w:rsidR="00B95F11" w:rsidRPr="004E48A8" w:rsidRDefault="00B95F11" w:rsidP="00312470">
            <w:pPr>
              <w:ind w:left="-754" w:firstLine="709"/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№</w:t>
            </w:r>
          </w:p>
          <w:p w:rsidR="00B95F11" w:rsidRPr="004E48A8" w:rsidRDefault="00B95F11" w:rsidP="00312470">
            <w:pPr>
              <w:ind w:left="-754" w:firstLine="709"/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п</w:t>
            </w:r>
            <w:r w:rsidRPr="004E48A8">
              <w:rPr>
                <w:bCs w:val="0"/>
                <w:lang w:val="en-US"/>
              </w:rPr>
              <w:t>/</w:t>
            </w:r>
            <w:r w:rsidRPr="004E48A8">
              <w:rPr>
                <w:bCs w:val="0"/>
              </w:rPr>
              <w:t>п</w:t>
            </w:r>
          </w:p>
        </w:tc>
        <w:tc>
          <w:tcPr>
            <w:tcW w:w="4961" w:type="dxa"/>
            <w:vMerge w:val="restart"/>
          </w:tcPr>
          <w:p w:rsidR="00B95F11" w:rsidRPr="004E48A8" w:rsidRDefault="00B95F11" w:rsidP="00312470">
            <w:pPr>
              <w:ind w:firstLine="35"/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B95F11" w:rsidRPr="004E48A8" w:rsidRDefault="00B95F11" w:rsidP="00312470">
            <w:pPr>
              <w:ind w:firstLine="34"/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Главные распорядители</w:t>
            </w:r>
            <w:r w:rsidRPr="004E48A8">
              <w:rPr>
                <w:bCs w:val="0"/>
                <w:lang w:val="en-US"/>
              </w:rPr>
              <w:t>/</w:t>
            </w:r>
          </w:p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исполнители</w:t>
            </w:r>
          </w:p>
        </w:tc>
        <w:tc>
          <w:tcPr>
            <w:tcW w:w="4536" w:type="dxa"/>
            <w:gridSpan w:val="5"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Объем финансирования, тыс.</w:t>
            </w:r>
            <w:r w:rsidR="000A5306" w:rsidRPr="004E48A8">
              <w:rPr>
                <w:bCs w:val="0"/>
                <w:sz w:val="24"/>
                <w:szCs w:val="24"/>
              </w:rPr>
              <w:t xml:space="preserve"> </w:t>
            </w:r>
            <w:r w:rsidRPr="004E48A8">
              <w:rPr>
                <w:bCs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  <w:vMerge w:val="restart"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Источник финансирования, тыс.</w:t>
            </w:r>
            <w:r w:rsidR="000A5306" w:rsidRPr="004E48A8">
              <w:rPr>
                <w:bCs w:val="0"/>
              </w:rPr>
              <w:t xml:space="preserve"> </w:t>
            </w:r>
            <w:r w:rsidRPr="004E48A8">
              <w:rPr>
                <w:bCs w:val="0"/>
              </w:rPr>
              <w:t>руб.</w:t>
            </w:r>
          </w:p>
        </w:tc>
        <w:tc>
          <w:tcPr>
            <w:tcW w:w="2267" w:type="dxa"/>
            <w:vMerge w:val="restart"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Ожидаемый результат</w:t>
            </w:r>
          </w:p>
        </w:tc>
      </w:tr>
      <w:tr w:rsidR="00B95F11" w:rsidRPr="004E48A8">
        <w:trPr>
          <w:trHeight w:val="230"/>
        </w:trPr>
        <w:tc>
          <w:tcPr>
            <w:tcW w:w="568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4961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1701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  <w:vMerge w:val="restart"/>
          </w:tcPr>
          <w:p w:rsidR="00B95F11" w:rsidRPr="004E48A8" w:rsidRDefault="00B95F11" w:rsidP="00312470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B95F11" w:rsidRPr="004E48A8" w:rsidRDefault="00B95F11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2020</w:t>
            </w:r>
          </w:p>
        </w:tc>
        <w:tc>
          <w:tcPr>
            <w:tcW w:w="1275" w:type="dxa"/>
            <w:vMerge w:val="restart"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B95F11" w:rsidRPr="004E48A8" w:rsidRDefault="00B95F11" w:rsidP="00312470">
            <w:pPr>
              <w:ind w:firstLine="34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B95F11" w:rsidRPr="004E48A8" w:rsidRDefault="00B95F11" w:rsidP="00312470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B95F11" w:rsidRPr="004E48A8" w:rsidRDefault="00B95F11" w:rsidP="00312470">
            <w:pPr>
              <w:ind w:firstLine="34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B95F11" w:rsidRPr="004E48A8" w:rsidRDefault="00B95F11" w:rsidP="00312470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B95F11" w:rsidRPr="004E48A8" w:rsidRDefault="00B95F11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B95F11" w:rsidRPr="004E48A8" w:rsidRDefault="00B95F11" w:rsidP="00312470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B95F11" w:rsidRPr="004E48A8" w:rsidRDefault="00B95F11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2267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B95F11" w:rsidRPr="004E48A8">
        <w:trPr>
          <w:trHeight w:val="230"/>
        </w:trPr>
        <w:tc>
          <w:tcPr>
            <w:tcW w:w="568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4961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1701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1275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851" w:type="dxa"/>
            <w:vMerge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  <w:vMerge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  <w:vMerge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  <w:vMerge/>
          </w:tcPr>
          <w:p w:rsidR="00B95F11" w:rsidRPr="004E48A8" w:rsidRDefault="00B95F11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2267" w:type="dxa"/>
            <w:vMerge/>
          </w:tcPr>
          <w:p w:rsidR="00B95F11" w:rsidRPr="004E48A8" w:rsidRDefault="00B95F11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944E08" w:rsidRPr="004E48A8">
        <w:trPr>
          <w:trHeight w:val="20"/>
        </w:trPr>
        <w:tc>
          <w:tcPr>
            <w:tcW w:w="568" w:type="dxa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44E08" w:rsidRPr="004E48A8" w:rsidRDefault="00944E08" w:rsidP="00312470">
            <w:pPr>
              <w:contextualSpacing/>
              <w:rPr>
                <w:b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>Составление проектно-сметной документации на строительство дошкольного образовательного учреждения на 120 мест и экспертиза достоверности сметной стоимости строительства</w:t>
            </w:r>
          </w:p>
          <w:p w:rsidR="00944E08" w:rsidRPr="004E48A8" w:rsidRDefault="00944E08" w:rsidP="00312470">
            <w:pPr>
              <w:contextualSpacing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944E08" w:rsidRPr="004E48A8" w:rsidRDefault="00944E08" w:rsidP="00312470">
            <w:pPr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Управление образования администрации БМР</w:t>
            </w:r>
          </w:p>
        </w:tc>
        <w:tc>
          <w:tcPr>
            <w:tcW w:w="992" w:type="dxa"/>
          </w:tcPr>
          <w:p w:rsidR="00944E08" w:rsidRPr="004E48A8" w:rsidRDefault="00944E08" w:rsidP="00312470">
            <w:pPr>
              <w:ind w:firstLine="34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1 740,0</w:t>
            </w:r>
          </w:p>
        </w:tc>
        <w:tc>
          <w:tcPr>
            <w:tcW w:w="1275" w:type="dxa"/>
          </w:tcPr>
          <w:p w:rsidR="00944E08" w:rsidRPr="004E48A8" w:rsidRDefault="00944E08" w:rsidP="00312470">
            <w:pPr>
              <w:ind w:firstLine="17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  <w:r w:rsidRPr="004E48A8">
              <w:t>Бюджет БМР</w:t>
            </w:r>
          </w:p>
        </w:tc>
        <w:tc>
          <w:tcPr>
            <w:tcW w:w="2267" w:type="dxa"/>
            <w:vMerge w:val="restart"/>
          </w:tcPr>
          <w:p w:rsidR="00944E08" w:rsidRPr="004E48A8" w:rsidRDefault="00944E08" w:rsidP="00312470">
            <w:pPr>
              <w:ind w:left="34" w:hanging="34"/>
              <w:contextualSpacing/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  <w:color w:val="000000"/>
              </w:rPr>
              <w:t xml:space="preserve">Подготовка документации, строительство </w:t>
            </w:r>
            <w:r w:rsidRPr="004E48A8">
              <w:rPr>
                <w:b w:val="0"/>
                <w:bCs w:val="0"/>
              </w:rPr>
              <w:t xml:space="preserve">и ввод в эксплуатацию зданий дошкольных образовательных и </w:t>
            </w:r>
            <w:r w:rsidRPr="004E48A8">
              <w:rPr>
                <w:b w:val="0"/>
              </w:rPr>
              <w:t>общеобразовательных</w:t>
            </w:r>
            <w:r w:rsidRPr="004E48A8">
              <w:rPr>
                <w:b w:val="0"/>
                <w:bCs w:val="0"/>
              </w:rPr>
              <w:t xml:space="preserve"> учреждений,</w:t>
            </w:r>
          </w:p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соответствующих современным требованиям и нормам</w:t>
            </w:r>
          </w:p>
        </w:tc>
      </w:tr>
      <w:tr w:rsidR="00944E08" w:rsidRPr="004E48A8">
        <w:trPr>
          <w:trHeight w:val="20"/>
        </w:trPr>
        <w:tc>
          <w:tcPr>
            <w:tcW w:w="568" w:type="dxa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44E08" w:rsidRPr="004E48A8" w:rsidRDefault="00944E08" w:rsidP="00312470">
            <w:pPr>
              <w:contextualSpacing/>
              <w:rPr>
                <w:b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>Составление проектно-сметной документации на строительство дошкольного образовательного учреждения на 160 мест и экспертиза достоверности сметной стоимости строительства</w:t>
            </w:r>
          </w:p>
          <w:p w:rsidR="00944E08" w:rsidRPr="004E48A8" w:rsidRDefault="00944E08" w:rsidP="00312470">
            <w:pPr>
              <w:contextualSpacing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944E08" w:rsidRPr="004E48A8" w:rsidRDefault="00944E08" w:rsidP="00312470">
            <w:pPr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944E08" w:rsidRPr="004E48A8" w:rsidRDefault="00944E08" w:rsidP="00312470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44E08" w:rsidRPr="004E48A8" w:rsidRDefault="00944E08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1 693,3</w:t>
            </w:r>
          </w:p>
        </w:tc>
        <w:tc>
          <w:tcPr>
            <w:tcW w:w="1275" w:type="dxa"/>
          </w:tcPr>
          <w:p w:rsidR="00944E08" w:rsidRPr="004E48A8" w:rsidRDefault="00944E08" w:rsidP="00312470">
            <w:pPr>
              <w:ind w:firstLine="17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44E08" w:rsidRPr="004E48A8" w:rsidRDefault="00944E08" w:rsidP="00312470">
            <w:pPr>
              <w:ind w:left="33"/>
              <w:contextualSpacing/>
              <w:jc w:val="center"/>
              <w:rPr>
                <w:bCs w:val="0"/>
              </w:rPr>
            </w:pPr>
            <w:r w:rsidRPr="004E48A8">
              <w:t>Бюджет БМР</w:t>
            </w:r>
          </w:p>
        </w:tc>
        <w:tc>
          <w:tcPr>
            <w:tcW w:w="2267" w:type="dxa"/>
            <w:vMerge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  <w:color w:val="000000"/>
              </w:rPr>
            </w:pPr>
          </w:p>
        </w:tc>
      </w:tr>
      <w:tr w:rsidR="00944E08" w:rsidRPr="004E48A8" w:rsidTr="001B5166">
        <w:trPr>
          <w:trHeight w:val="578"/>
        </w:trPr>
        <w:tc>
          <w:tcPr>
            <w:tcW w:w="568" w:type="dxa"/>
            <w:vMerge w:val="restart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</w:tcPr>
          <w:p w:rsidR="00944E08" w:rsidRPr="004E48A8" w:rsidRDefault="00944E08" w:rsidP="00312470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 xml:space="preserve">Строительство и ввод в эксплуатацию дошкольного образовательного учреждения </w:t>
            </w:r>
          </w:p>
          <w:p w:rsidR="00944E08" w:rsidRPr="004E48A8" w:rsidRDefault="00944E08" w:rsidP="001B5166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>на 160 мест, в том числе приобретение технологического оборудования</w:t>
            </w:r>
          </w:p>
        </w:tc>
        <w:tc>
          <w:tcPr>
            <w:tcW w:w="1701" w:type="dxa"/>
            <w:vMerge w:val="restart"/>
          </w:tcPr>
          <w:p w:rsidR="00944E08" w:rsidRPr="004E48A8" w:rsidRDefault="00944E08" w:rsidP="00312470">
            <w:pPr>
              <w:jc w:val="center"/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  <w:vMerge w:val="restart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114 271,1</w:t>
            </w:r>
          </w:p>
        </w:tc>
        <w:tc>
          <w:tcPr>
            <w:tcW w:w="851" w:type="dxa"/>
            <w:vMerge w:val="restart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 w:val="restart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 w:val="restart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ФБ</w:t>
            </w:r>
          </w:p>
        </w:tc>
        <w:tc>
          <w:tcPr>
            <w:tcW w:w="2267" w:type="dxa"/>
            <w:vMerge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</w:p>
        </w:tc>
      </w:tr>
      <w:tr w:rsidR="00944E08" w:rsidRPr="004E48A8">
        <w:trPr>
          <w:trHeight w:val="577"/>
        </w:trPr>
        <w:tc>
          <w:tcPr>
            <w:tcW w:w="568" w:type="dxa"/>
            <w:vMerge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44E08" w:rsidRPr="004E48A8" w:rsidRDefault="00944E08" w:rsidP="00312470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4E08" w:rsidRPr="004E48A8" w:rsidRDefault="00944E08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2 184,0</w:t>
            </w:r>
          </w:p>
        </w:tc>
        <w:tc>
          <w:tcPr>
            <w:tcW w:w="851" w:type="dxa"/>
            <w:vMerge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  <w:r w:rsidRPr="004E48A8">
              <w:t>Бюджет БМР</w:t>
            </w:r>
          </w:p>
        </w:tc>
        <w:tc>
          <w:tcPr>
            <w:tcW w:w="2267" w:type="dxa"/>
            <w:vMerge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</w:p>
        </w:tc>
      </w:tr>
      <w:tr w:rsidR="00944E08" w:rsidRPr="004E48A8">
        <w:trPr>
          <w:trHeight w:val="952"/>
        </w:trPr>
        <w:tc>
          <w:tcPr>
            <w:tcW w:w="568" w:type="dxa"/>
          </w:tcPr>
          <w:p w:rsidR="00944E08" w:rsidRPr="004E48A8" w:rsidRDefault="00944E08" w:rsidP="00312470">
            <w:pPr>
              <w:ind w:hanging="142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44E08" w:rsidRPr="004E48A8" w:rsidRDefault="00944E08" w:rsidP="00BD458D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Выполнение инженерных изысканий, составление проектно-сметной документации на строительство общеобразовательного учреждения и экспертиза проектной документации объектов капитального строительства и результатов инженерных изысканий</w:t>
            </w:r>
          </w:p>
        </w:tc>
        <w:tc>
          <w:tcPr>
            <w:tcW w:w="1701" w:type="dxa"/>
          </w:tcPr>
          <w:p w:rsidR="00944E08" w:rsidRPr="004E48A8" w:rsidRDefault="00944E08" w:rsidP="00312470">
            <w:pPr>
              <w:jc w:val="center"/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E08" w:rsidRPr="004E48A8" w:rsidRDefault="00944E08" w:rsidP="005172EE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4 </w:t>
            </w:r>
            <w:r w:rsidR="005172EE" w:rsidRPr="004E48A8">
              <w:rPr>
                <w:bCs w:val="0"/>
                <w:sz w:val="24"/>
                <w:szCs w:val="24"/>
              </w:rPr>
              <w:t>8</w:t>
            </w:r>
            <w:r w:rsidRPr="004E48A8">
              <w:rPr>
                <w:bCs w:val="0"/>
                <w:sz w:val="24"/>
                <w:szCs w:val="24"/>
              </w:rPr>
              <w:t>17,8</w:t>
            </w:r>
          </w:p>
        </w:tc>
        <w:tc>
          <w:tcPr>
            <w:tcW w:w="851" w:type="dxa"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</w:p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</w:p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</w:p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44E08" w:rsidRPr="004E48A8" w:rsidRDefault="00944E08" w:rsidP="00312470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4E48A8">
              <w:t>Бюджет БМР</w:t>
            </w:r>
          </w:p>
        </w:tc>
        <w:tc>
          <w:tcPr>
            <w:tcW w:w="2267" w:type="dxa"/>
            <w:vMerge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944E08" w:rsidRPr="004E48A8">
        <w:trPr>
          <w:trHeight w:val="952"/>
        </w:trPr>
        <w:tc>
          <w:tcPr>
            <w:tcW w:w="568" w:type="dxa"/>
          </w:tcPr>
          <w:p w:rsidR="00944E08" w:rsidRPr="004E48A8" w:rsidRDefault="00944E08" w:rsidP="0038606A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944E08" w:rsidRPr="004E48A8" w:rsidRDefault="00944E08" w:rsidP="0038606A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>Составление проекта и выполнение работ по подключению временного электроснабжения строящегося дошкольного образовательного учреждения на 160 мест</w:t>
            </w:r>
          </w:p>
        </w:tc>
        <w:tc>
          <w:tcPr>
            <w:tcW w:w="1701" w:type="dxa"/>
          </w:tcPr>
          <w:p w:rsidR="00944E08" w:rsidRPr="004E48A8" w:rsidRDefault="00944E08" w:rsidP="0038606A">
            <w:pPr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E08" w:rsidRPr="004E48A8" w:rsidRDefault="00944E08" w:rsidP="0025774D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193,9</w:t>
            </w:r>
          </w:p>
        </w:tc>
        <w:tc>
          <w:tcPr>
            <w:tcW w:w="851" w:type="dxa"/>
          </w:tcPr>
          <w:p w:rsidR="00944E08" w:rsidRPr="004E48A8" w:rsidRDefault="00944E08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44E08" w:rsidRPr="004E48A8" w:rsidRDefault="00944E08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44E08" w:rsidRPr="004E48A8" w:rsidRDefault="00944E08" w:rsidP="0038606A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4E48A8">
              <w:t>Бюджет БМР</w:t>
            </w:r>
          </w:p>
        </w:tc>
        <w:tc>
          <w:tcPr>
            <w:tcW w:w="2267" w:type="dxa"/>
            <w:vMerge/>
          </w:tcPr>
          <w:p w:rsidR="00944E08" w:rsidRPr="004E48A8" w:rsidRDefault="00944E08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5172EE" w:rsidRPr="004E48A8">
        <w:trPr>
          <w:trHeight w:val="1265"/>
        </w:trPr>
        <w:tc>
          <w:tcPr>
            <w:tcW w:w="568" w:type="dxa"/>
          </w:tcPr>
          <w:p w:rsidR="005172EE" w:rsidRPr="004E48A8" w:rsidRDefault="005172EE" w:rsidP="00EE3AF9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172EE" w:rsidRPr="004E48A8" w:rsidRDefault="005172EE" w:rsidP="00EE3AF9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>Осуществление технологического присоединения к электрическим сетям строящегося дошкольного образовательного учреждения на 160 мест</w:t>
            </w:r>
          </w:p>
        </w:tc>
        <w:tc>
          <w:tcPr>
            <w:tcW w:w="1701" w:type="dxa"/>
          </w:tcPr>
          <w:p w:rsidR="005172EE" w:rsidRPr="004E48A8" w:rsidRDefault="005172EE" w:rsidP="00EE3AF9">
            <w:pPr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5172EE" w:rsidRPr="004E48A8" w:rsidRDefault="005172EE" w:rsidP="00EE3AF9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72EE" w:rsidRPr="004E48A8" w:rsidRDefault="005172EE" w:rsidP="00EE3AF9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107,3</w:t>
            </w:r>
          </w:p>
        </w:tc>
        <w:tc>
          <w:tcPr>
            <w:tcW w:w="851" w:type="dxa"/>
          </w:tcPr>
          <w:p w:rsidR="005172EE" w:rsidRPr="004E48A8" w:rsidRDefault="005172EE" w:rsidP="00EE3AF9">
            <w:pPr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5172EE" w:rsidRPr="004E48A8" w:rsidRDefault="005172EE" w:rsidP="00EE3AF9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EE3AF9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5172EE" w:rsidRPr="004E48A8" w:rsidRDefault="005172EE" w:rsidP="00EE3AF9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4E48A8">
              <w:t>Бюджет БМР</w:t>
            </w:r>
          </w:p>
        </w:tc>
        <w:tc>
          <w:tcPr>
            <w:tcW w:w="2267" w:type="dxa"/>
            <w:vMerge/>
          </w:tcPr>
          <w:p w:rsidR="005172EE" w:rsidRPr="004E48A8" w:rsidRDefault="005172EE" w:rsidP="00312470">
            <w:pPr>
              <w:ind w:firstLine="34"/>
              <w:contextualSpacing/>
              <w:jc w:val="center"/>
              <w:rPr>
                <w:b w:val="0"/>
                <w:bCs w:val="0"/>
              </w:rPr>
            </w:pPr>
          </w:p>
        </w:tc>
      </w:tr>
      <w:tr w:rsidR="005172EE" w:rsidRPr="004E48A8" w:rsidTr="00953718">
        <w:trPr>
          <w:trHeight w:val="1265"/>
        </w:trPr>
        <w:tc>
          <w:tcPr>
            <w:tcW w:w="568" w:type="dxa"/>
          </w:tcPr>
          <w:p w:rsidR="005172EE" w:rsidRPr="004E48A8" w:rsidRDefault="005172EE" w:rsidP="00EE3AF9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5172EE" w:rsidRPr="004E48A8" w:rsidRDefault="005172EE" w:rsidP="00EE3AF9">
            <w:pPr>
              <w:pStyle w:val="af9"/>
              <w:spacing w:before="0" w:after="0"/>
              <w:contextualSpacing/>
              <w:textAlignment w:val="baseline"/>
              <w:rPr>
                <w:color w:val="000000"/>
              </w:rPr>
            </w:pPr>
            <w:r w:rsidRPr="004E48A8">
              <w:rPr>
                <w:color w:val="000000"/>
              </w:rPr>
              <w:t>Изготовление технического паспорта и (или) технического плана на объекты</w:t>
            </w:r>
          </w:p>
          <w:p w:rsidR="005172EE" w:rsidRPr="004E48A8" w:rsidRDefault="005172EE" w:rsidP="00EE3AF9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EE" w:rsidRPr="004E48A8" w:rsidRDefault="005172EE" w:rsidP="00C82AFF">
            <w:pPr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5172EE" w:rsidRPr="004E48A8" w:rsidRDefault="005172EE" w:rsidP="00C82AFF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72EE" w:rsidRPr="004E48A8" w:rsidRDefault="005172EE" w:rsidP="00C82AFF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5172EE" w:rsidRPr="004E48A8" w:rsidRDefault="005172EE" w:rsidP="00C82AFF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C82AFF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C82AFF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5172EE" w:rsidRPr="004E48A8" w:rsidRDefault="005172EE" w:rsidP="00C82AFF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4E48A8">
              <w:t>Бюджет БМР</w:t>
            </w:r>
          </w:p>
        </w:tc>
        <w:tc>
          <w:tcPr>
            <w:tcW w:w="2267" w:type="dxa"/>
            <w:vMerge/>
          </w:tcPr>
          <w:p w:rsidR="005172EE" w:rsidRPr="004E48A8" w:rsidRDefault="005172EE" w:rsidP="00312470">
            <w:pPr>
              <w:ind w:firstLine="34"/>
              <w:contextualSpacing/>
              <w:jc w:val="center"/>
              <w:rPr>
                <w:b w:val="0"/>
                <w:bCs w:val="0"/>
              </w:rPr>
            </w:pPr>
          </w:p>
        </w:tc>
      </w:tr>
      <w:tr w:rsidR="005172EE" w:rsidRPr="004E48A8">
        <w:trPr>
          <w:trHeight w:val="1265"/>
        </w:trPr>
        <w:tc>
          <w:tcPr>
            <w:tcW w:w="568" w:type="dxa"/>
          </w:tcPr>
          <w:p w:rsidR="005172EE" w:rsidRPr="004E48A8" w:rsidRDefault="005172EE" w:rsidP="00EE3AF9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172EE" w:rsidRPr="004E48A8" w:rsidRDefault="005172EE" w:rsidP="008655C7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 xml:space="preserve">Проведение оценки фактического состояния объектов капитального строительства, составление проектно-сметной документации на снос аварийных объектов </w:t>
            </w:r>
          </w:p>
        </w:tc>
        <w:tc>
          <w:tcPr>
            <w:tcW w:w="1701" w:type="dxa"/>
          </w:tcPr>
          <w:p w:rsidR="005172EE" w:rsidRPr="004E48A8" w:rsidRDefault="005172EE" w:rsidP="00312470">
            <w:pPr>
              <w:jc w:val="center"/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5172EE" w:rsidRPr="004E48A8" w:rsidRDefault="005172EE" w:rsidP="00312470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5172EE" w:rsidRPr="004E48A8" w:rsidRDefault="005172EE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</w:tcPr>
          <w:p w:rsidR="005172EE" w:rsidRPr="004E48A8" w:rsidRDefault="005172EE" w:rsidP="00312470">
            <w:pPr>
              <w:contextualSpacing/>
              <w:jc w:val="center"/>
            </w:pPr>
            <w:r w:rsidRPr="004E48A8">
              <w:t>Бюджет БМР</w:t>
            </w:r>
          </w:p>
        </w:tc>
        <w:tc>
          <w:tcPr>
            <w:tcW w:w="2267" w:type="dxa"/>
            <w:vMerge w:val="restart"/>
          </w:tcPr>
          <w:p w:rsidR="005172EE" w:rsidRPr="004E48A8" w:rsidRDefault="005172EE" w:rsidP="00312470">
            <w:pPr>
              <w:ind w:firstLine="34"/>
              <w:contextualSpacing/>
              <w:jc w:val="center"/>
              <w:rPr>
                <w:b w:val="0"/>
                <w:bCs w:val="0"/>
              </w:rPr>
            </w:pPr>
          </w:p>
          <w:p w:rsidR="005172EE" w:rsidRPr="004E48A8" w:rsidRDefault="005172EE" w:rsidP="00312470">
            <w:pPr>
              <w:ind w:firstLine="34"/>
              <w:contextualSpacing/>
              <w:jc w:val="center"/>
              <w:rPr>
                <w:b w:val="0"/>
              </w:rPr>
            </w:pPr>
            <w:r w:rsidRPr="004E48A8">
              <w:rPr>
                <w:b w:val="0"/>
                <w:bCs w:val="0"/>
              </w:rPr>
              <w:t xml:space="preserve">Выявление и сокращение аварийного фонда </w:t>
            </w:r>
            <w:r w:rsidRPr="004E48A8">
              <w:rPr>
                <w:b w:val="0"/>
              </w:rPr>
              <w:t>объектов капитального строительства</w:t>
            </w:r>
          </w:p>
          <w:p w:rsidR="005172EE" w:rsidRPr="004E48A8" w:rsidRDefault="005172EE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</w:tr>
      <w:tr w:rsidR="005172EE" w:rsidRPr="004E48A8">
        <w:trPr>
          <w:trHeight w:val="20"/>
        </w:trPr>
        <w:tc>
          <w:tcPr>
            <w:tcW w:w="568" w:type="dxa"/>
          </w:tcPr>
          <w:p w:rsidR="005172EE" w:rsidRPr="004E48A8" w:rsidRDefault="005172EE" w:rsidP="00EE3AF9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5172EE" w:rsidRPr="004E48A8" w:rsidRDefault="005172EE" w:rsidP="00312470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>Снос объектов капитального строительства, признанных аварийными и подлежащими сносу</w:t>
            </w:r>
          </w:p>
        </w:tc>
        <w:tc>
          <w:tcPr>
            <w:tcW w:w="1701" w:type="dxa"/>
          </w:tcPr>
          <w:p w:rsidR="005172EE" w:rsidRPr="004E48A8" w:rsidRDefault="005172EE" w:rsidP="00312470">
            <w:pPr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  <w:p w:rsidR="005172EE" w:rsidRPr="004E48A8" w:rsidRDefault="005172EE" w:rsidP="003124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5172EE" w:rsidRPr="004E48A8" w:rsidRDefault="005172EE" w:rsidP="00312470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72EE" w:rsidRPr="004E48A8" w:rsidRDefault="005172EE" w:rsidP="00944E08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1 797,0</w:t>
            </w:r>
          </w:p>
        </w:tc>
        <w:tc>
          <w:tcPr>
            <w:tcW w:w="851" w:type="dxa"/>
          </w:tcPr>
          <w:p w:rsidR="005172EE" w:rsidRPr="004E48A8" w:rsidRDefault="005172EE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</w:tcPr>
          <w:p w:rsidR="005172EE" w:rsidRPr="004E48A8" w:rsidRDefault="005172EE" w:rsidP="00312470">
            <w:pPr>
              <w:contextualSpacing/>
              <w:jc w:val="center"/>
            </w:pPr>
            <w:r w:rsidRPr="004E48A8">
              <w:t>Бюджет БМР</w:t>
            </w:r>
          </w:p>
        </w:tc>
        <w:tc>
          <w:tcPr>
            <w:tcW w:w="2267" w:type="dxa"/>
            <w:vMerge/>
          </w:tcPr>
          <w:p w:rsidR="005172EE" w:rsidRPr="004E48A8" w:rsidRDefault="005172EE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5172EE" w:rsidRPr="004E48A8">
        <w:trPr>
          <w:trHeight w:val="20"/>
        </w:trPr>
        <w:tc>
          <w:tcPr>
            <w:tcW w:w="568" w:type="dxa"/>
          </w:tcPr>
          <w:p w:rsidR="005172EE" w:rsidRPr="004E48A8" w:rsidRDefault="005172EE" w:rsidP="00EE3AF9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E48A8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5172EE" w:rsidRPr="004E48A8" w:rsidRDefault="005172EE" w:rsidP="00312470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4E48A8">
              <w:rPr>
                <w:b w:val="0"/>
                <w:sz w:val="24"/>
                <w:szCs w:val="24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701" w:type="dxa"/>
          </w:tcPr>
          <w:p w:rsidR="005172EE" w:rsidRPr="004E48A8" w:rsidRDefault="005172EE" w:rsidP="00234DDF">
            <w:pPr>
              <w:jc w:val="center"/>
              <w:rPr>
                <w:b w:val="0"/>
                <w:bCs w:val="0"/>
              </w:rPr>
            </w:pPr>
            <w:r w:rsidRPr="004E48A8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5172EE" w:rsidRPr="004E48A8" w:rsidRDefault="005172EE" w:rsidP="00312470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600,00</w:t>
            </w:r>
          </w:p>
        </w:tc>
        <w:tc>
          <w:tcPr>
            <w:tcW w:w="851" w:type="dxa"/>
          </w:tcPr>
          <w:p w:rsidR="005172EE" w:rsidRPr="004E48A8" w:rsidRDefault="005172EE" w:rsidP="00312470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</w:tcPr>
          <w:p w:rsidR="005172EE" w:rsidRPr="004E48A8" w:rsidRDefault="005172EE" w:rsidP="00312470">
            <w:pPr>
              <w:contextualSpacing/>
              <w:jc w:val="center"/>
            </w:pPr>
            <w:r w:rsidRPr="004E48A8">
              <w:t>Бюджет БМР</w:t>
            </w:r>
          </w:p>
        </w:tc>
        <w:tc>
          <w:tcPr>
            <w:tcW w:w="2267" w:type="dxa"/>
          </w:tcPr>
          <w:p w:rsidR="005172EE" w:rsidRPr="004E48A8" w:rsidRDefault="005172EE" w:rsidP="000F768B">
            <w:pPr>
              <w:ind w:firstLine="34"/>
              <w:contextualSpacing/>
              <w:jc w:val="center"/>
              <w:rPr>
                <w:b w:val="0"/>
              </w:rPr>
            </w:pPr>
            <w:r w:rsidRPr="004E48A8">
              <w:rPr>
                <w:b w:val="0"/>
              </w:rPr>
              <w:t>Соответствие качества и объемов  работ нормативным требованиям</w:t>
            </w:r>
          </w:p>
        </w:tc>
      </w:tr>
      <w:tr w:rsidR="005172EE" w:rsidRPr="004E48A8">
        <w:trPr>
          <w:trHeight w:val="20"/>
        </w:trPr>
        <w:tc>
          <w:tcPr>
            <w:tcW w:w="5529" w:type="dxa"/>
            <w:gridSpan w:val="2"/>
          </w:tcPr>
          <w:p w:rsidR="005172EE" w:rsidRPr="004E48A8" w:rsidRDefault="005172EE" w:rsidP="00312470">
            <w:pPr>
              <w:ind w:firstLine="709"/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</w:rPr>
              <w:t>Итого</w:t>
            </w:r>
          </w:p>
        </w:tc>
        <w:tc>
          <w:tcPr>
            <w:tcW w:w="1701" w:type="dxa"/>
          </w:tcPr>
          <w:p w:rsidR="005172EE" w:rsidRPr="004E48A8" w:rsidRDefault="005172EE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3 433,3</w:t>
            </w:r>
          </w:p>
        </w:tc>
        <w:tc>
          <w:tcPr>
            <w:tcW w:w="1275" w:type="dxa"/>
          </w:tcPr>
          <w:p w:rsidR="005172EE" w:rsidRPr="004E48A8" w:rsidRDefault="005172EE" w:rsidP="00312470">
            <w:pPr>
              <w:ind w:hanging="108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E48A8">
              <w:rPr>
                <w:bCs w:val="0"/>
                <w:sz w:val="24"/>
                <w:szCs w:val="24"/>
              </w:rPr>
              <w:t>124 191,1</w:t>
            </w:r>
          </w:p>
        </w:tc>
        <w:tc>
          <w:tcPr>
            <w:tcW w:w="851" w:type="dxa"/>
          </w:tcPr>
          <w:p w:rsidR="005172EE" w:rsidRPr="004E48A8" w:rsidRDefault="005172EE" w:rsidP="00312470">
            <w:pPr>
              <w:ind w:hanging="108"/>
              <w:contextualSpacing/>
              <w:jc w:val="center"/>
              <w:rPr>
                <w:bCs w:val="0"/>
              </w:rPr>
            </w:pPr>
            <w:r w:rsidRPr="004E48A8">
              <w:rPr>
                <w:bCs w:val="0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5172EE" w:rsidRPr="004E48A8" w:rsidRDefault="005172EE" w:rsidP="00312470">
            <w:pPr>
              <w:ind w:hanging="108"/>
              <w:contextualSpacing/>
              <w:jc w:val="center"/>
              <w:rPr>
                <w:bCs w:val="0"/>
              </w:rPr>
            </w:pPr>
          </w:p>
        </w:tc>
        <w:tc>
          <w:tcPr>
            <w:tcW w:w="709" w:type="dxa"/>
          </w:tcPr>
          <w:p w:rsidR="005172EE" w:rsidRPr="004E48A8" w:rsidRDefault="005172EE" w:rsidP="00312470">
            <w:pPr>
              <w:ind w:hanging="108"/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</w:tcPr>
          <w:p w:rsidR="005172EE" w:rsidRPr="004E48A8" w:rsidRDefault="005172EE" w:rsidP="00312470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2267" w:type="dxa"/>
          </w:tcPr>
          <w:p w:rsidR="005172EE" w:rsidRPr="004E48A8" w:rsidRDefault="005172EE" w:rsidP="00312470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</w:tbl>
    <w:p w:rsidR="005667E9" w:rsidRPr="004E48A8" w:rsidRDefault="005667E9" w:rsidP="00312470">
      <w:pPr>
        <w:ind w:hanging="142"/>
        <w:jc w:val="both"/>
        <w:rPr>
          <w:bCs w:val="0"/>
          <w:sz w:val="24"/>
          <w:szCs w:val="24"/>
        </w:rPr>
      </w:pPr>
    </w:p>
    <w:p w:rsidR="00FE1B8F" w:rsidRPr="004E48A8" w:rsidRDefault="00FE1B8F" w:rsidP="00312470">
      <w:pPr>
        <w:ind w:hanging="142"/>
        <w:jc w:val="both"/>
        <w:rPr>
          <w:bCs w:val="0"/>
          <w:sz w:val="24"/>
          <w:szCs w:val="24"/>
        </w:rPr>
      </w:pPr>
    </w:p>
    <w:p w:rsidR="00FE1B8F" w:rsidRPr="004E48A8" w:rsidRDefault="00FE1B8F" w:rsidP="00312470">
      <w:pPr>
        <w:ind w:hanging="142"/>
        <w:jc w:val="both"/>
        <w:rPr>
          <w:bCs w:val="0"/>
          <w:sz w:val="24"/>
          <w:szCs w:val="24"/>
        </w:rPr>
      </w:pPr>
    </w:p>
    <w:p w:rsidR="005667E9" w:rsidRPr="004E48A8" w:rsidRDefault="005667E9" w:rsidP="00312470">
      <w:pPr>
        <w:ind w:hanging="142"/>
        <w:jc w:val="both"/>
        <w:rPr>
          <w:bCs w:val="0"/>
          <w:sz w:val="24"/>
          <w:szCs w:val="24"/>
        </w:rPr>
      </w:pPr>
      <w:r w:rsidRPr="004E48A8">
        <w:rPr>
          <w:bCs w:val="0"/>
          <w:sz w:val="24"/>
          <w:szCs w:val="24"/>
        </w:rPr>
        <w:t xml:space="preserve">Заместитель главы администрации Балашовского </w:t>
      </w:r>
    </w:p>
    <w:p w:rsidR="005667E9" w:rsidRPr="004E48A8" w:rsidRDefault="005667E9" w:rsidP="00312470">
      <w:pPr>
        <w:ind w:hanging="142"/>
        <w:jc w:val="both"/>
        <w:rPr>
          <w:bCs w:val="0"/>
          <w:sz w:val="24"/>
          <w:szCs w:val="24"/>
        </w:rPr>
      </w:pPr>
      <w:r w:rsidRPr="004E48A8">
        <w:rPr>
          <w:bCs w:val="0"/>
          <w:sz w:val="24"/>
          <w:szCs w:val="24"/>
        </w:rPr>
        <w:t xml:space="preserve">муниципального района по архитектуре и градостроительству, </w:t>
      </w:r>
    </w:p>
    <w:p w:rsidR="0051674A" w:rsidRPr="005667E9" w:rsidRDefault="005667E9" w:rsidP="00312470">
      <w:pPr>
        <w:ind w:hanging="142"/>
        <w:jc w:val="both"/>
        <w:rPr>
          <w:bCs w:val="0"/>
          <w:sz w:val="24"/>
          <w:szCs w:val="24"/>
        </w:rPr>
      </w:pPr>
      <w:r w:rsidRPr="004E48A8">
        <w:rPr>
          <w:bCs w:val="0"/>
          <w:sz w:val="24"/>
          <w:szCs w:val="24"/>
        </w:rPr>
        <w:t>начальник управления капитального строительства                                                                                                                                О.В. Масякин</w:t>
      </w:r>
    </w:p>
    <w:sectPr w:rsidR="0051674A" w:rsidRPr="005667E9" w:rsidSect="00CA124E">
      <w:pgSz w:w="16838" w:h="11906" w:orient="landscape"/>
      <w:pgMar w:top="1134" w:right="851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A4" w:rsidRDefault="00D359A4" w:rsidP="00183B00">
      <w:r>
        <w:separator/>
      </w:r>
    </w:p>
  </w:endnote>
  <w:endnote w:type="continuationSeparator" w:id="0">
    <w:p w:rsidR="00D359A4" w:rsidRDefault="00D359A4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A4" w:rsidRDefault="00D359A4" w:rsidP="00183B00">
      <w:r>
        <w:separator/>
      </w:r>
    </w:p>
  </w:footnote>
  <w:footnote w:type="continuationSeparator" w:id="0">
    <w:p w:rsidR="00D359A4" w:rsidRDefault="00D359A4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D33E742C"/>
    <w:lvl w:ilvl="0" w:tplc="CF825E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6F2D"/>
    <w:rsid w:val="0001031D"/>
    <w:rsid w:val="000109B0"/>
    <w:rsid w:val="000115CE"/>
    <w:rsid w:val="00012FFD"/>
    <w:rsid w:val="000136D4"/>
    <w:rsid w:val="000310C7"/>
    <w:rsid w:val="00032BEA"/>
    <w:rsid w:val="00043967"/>
    <w:rsid w:val="00050A2F"/>
    <w:rsid w:val="00075D36"/>
    <w:rsid w:val="000766E5"/>
    <w:rsid w:val="000815AA"/>
    <w:rsid w:val="000906F1"/>
    <w:rsid w:val="000912CD"/>
    <w:rsid w:val="00091789"/>
    <w:rsid w:val="000A5306"/>
    <w:rsid w:val="000B7009"/>
    <w:rsid w:val="000B7606"/>
    <w:rsid w:val="000C6538"/>
    <w:rsid w:val="000D1CC6"/>
    <w:rsid w:val="000D34F6"/>
    <w:rsid w:val="000D48CC"/>
    <w:rsid w:val="000D7900"/>
    <w:rsid w:val="000E0FD9"/>
    <w:rsid w:val="000E350D"/>
    <w:rsid w:val="000E51A7"/>
    <w:rsid w:val="000F0FEB"/>
    <w:rsid w:val="000F768B"/>
    <w:rsid w:val="001034CB"/>
    <w:rsid w:val="001155BB"/>
    <w:rsid w:val="00116FE5"/>
    <w:rsid w:val="00120A59"/>
    <w:rsid w:val="0012577A"/>
    <w:rsid w:val="00137BC2"/>
    <w:rsid w:val="001574E8"/>
    <w:rsid w:val="001636A0"/>
    <w:rsid w:val="001638D0"/>
    <w:rsid w:val="0016548A"/>
    <w:rsid w:val="0017448A"/>
    <w:rsid w:val="00176A8C"/>
    <w:rsid w:val="00180CDC"/>
    <w:rsid w:val="00181F86"/>
    <w:rsid w:val="00183B00"/>
    <w:rsid w:val="00184B1F"/>
    <w:rsid w:val="00184C3D"/>
    <w:rsid w:val="00187D51"/>
    <w:rsid w:val="00191B86"/>
    <w:rsid w:val="0019309F"/>
    <w:rsid w:val="001A3747"/>
    <w:rsid w:val="001B3766"/>
    <w:rsid w:val="001B5166"/>
    <w:rsid w:val="001C2628"/>
    <w:rsid w:val="001D4A60"/>
    <w:rsid w:val="001D4B7B"/>
    <w:rsid w:val="001E4BD6"/>
    <w:rsid w:val="002003EB"/>
    <w:rsid w:val="0020460E"/>
    <w:rsid w:val="002111FB"/>
    <w:rsid w:val="00221184"/>
    <w:rsid w:val="002301F3"/>
    <w:rsid w:val="002336B4"/>
    <w:rsid w:val="00234DDF"/>
    <w:rsid w:val="00237E4E"/>
    <w:rsid w:val="00241E8F"/>
    <w:rsid w:val="0024367E"/>
    <w:rsid w:val="002478DD"/>
    <w:rsid w:val="0025774D"/>
    <w:rsid w:val="00261AF4"/>
    <w:rsid w:val="00261B0C"/>
    <w:rsid w:val="0026387A"/>
    <w:rsid w:val="0026759B"/>
    <w:rsid w:val="00270F11"/>
    <w:rsid w:val="00274E0F"/>
    <w:rsid w:val="002768CC"/>
    <w:rsid w:val="0028336D"/>
    <w:rsid w:val="00287971"/>
    <w:rsid w:val="002919F2"/>
    <w:rsid w:val="00292D52"/>
    <w:rsid w:val="002A2473"/>
    <w:rsid w:val="002A3208"/>
    <w:rsid w:val="002A448A"/>
    <w:rsid w:val="002A6C7A"/>
    <w:rsid w:val="002B4987"/>
    <w:rsid w:val="002B5C77"/>
    <w:rsid w:val="002B69D8"/>
    <w:rsid w:val="002B6AB0"/>
    <w:rsid w:val="002B7792"/>
    <w:rsid w:val="002C241D"/>
    <w:rsid w:val="002C7073"/>
    <w:rsid w:val="002D4343"/>
    <w:rsid w:val="002E5E31"/>
    <w:rsid w:val="002F4D22"/>
    <w:rsid w:val="00301E9B"/>
    <w:rsid w:val="003047C7"/>
    <w:rsid w:val="00307BF1"/>
    <w:rsid w:val="00310A51"/>
    <w:rsid w:val="00312470"/>
    <w:rsid w:val="00315529"/>
    <w:rsid w:val="003158EE"/>
    <w:rsid w:val="00320368"/>
    <w:rsid w:val="0032249B"/>
    <w:rsid w:val="00336BAF"/>
    <w:rsid w:val="00341F68"/>
    <w:rsid w:val="00342B8A"/>
    <w:rsid w:val="00342DC6"/>
    <w:rsid w:val="003474A1"/>
    <w:rsid w:val="00351AD4"/>
    <w:rsid w:val="003522FA"/>
    <w:rsid w:val="0035511F"/>
    <w:rsid w:val="003603C6"/>
    <w:rsid w:val="00375C31"/>
    <w:rsid w:val="0038606A"/>
    <w:rsid w:val="003A1C30"/>
    <w:rsid w:val="003B0CD6"/>
    <w:rsid w:val="003B41A7"/>
    <w:rsid w:val="003C51E2"/>
    <w:rsid w:val="003C5DFA"/>
    <w:rsid w:val="003D17F6"/>
    <w:rsid w:val="003D3463"/>
    <w:rsid w:val="003E1E30"/>
    <w:rsid w:val="003E5854"/>
    <w:rsid w:val="003E6319"/>
    <w:rsid w:val="003F04E5"/>
    <w:rsid w:val="003F6AA1"/>
    <w:rsid w:val="003F72A4"/>
    <w:rsid w:val="00400F4D"/>
    <w:rsid w:val="004019A4"/>
    <w:rsid w:val="004046F4"/>
    <w:rsid w:val="00404CC7"/>
    <w:rsid w:val="00410304"/>
    <w:rsid w:val="00411CDD"/>
    <w:rsid w:val="0042097E"/>
    <w:rsid w:val="00431370"/>
    <w:rsid w:val="00440CA5"/>
    <w:rsid w:val="0044406F"/>
    <w:rsid w:val="004460B2"/>
    <w:rsid w:val="004463CF"/>
    <w:rsid w:val="0045489F"/>
    <w:rsid w:val="004559CF"/>
    <w:rsid w:val="00481AEB"/>
    <w:rsid w:val="00482A93"/>
    <w:rsid w:val="004D267F"/>
    <w:rsid w:val="004E48A8"/>
    <w:rsid w:val="004E578B"/>
    <w:rsid w:val="004E6358"/>
    <w:rsid w:val="004E6A14"/>
    <w:rsid w:val="004F1367"/>
    <w:rsid w:val="004F14C6"/>
    <w:rsid w:val="004F23A2"/>
    <w:rsid w:val="004F5E6E"/>
    <w:rsid w:val="00502348"/>
    <w:rsid w:val="00507EAC"/>
    <w:rsid w:val="005102E3"/>
    <w:rsid w:val="00511A6D"/>
    <w:rsid w:val="00511BEB"/>
    <w:rsid w:val="005162E0"/>
    <w:rsid w:val="0051674A"/>
    <w:rsid w:val="005172EE"/>
    <w:rsid w:val="005240A7"/>
    <w:rsid w:val="0053752A"/>
    <w:rsid w:val="005447FE"/>
    <w:rsid w:val="00555202"/>
    <w:rsid w:val="0056594C"/>
    <w:rsid w:val="005667E9"/>
    <w:rsid w:val="0056756A"/>
    <w:rsid w:val="005716B0"/>
    <w:rsid w:val="00585302"/>
    <w:rsid w:val="0058760B"/>
    <w:rsid w:val="00597F0D"/>
    <w:rsid w:val="005A648A"/>
    <w:rsid w:val="005C2E1F"/>
    <w:rsid w:val="005C5037"/>
    <w:rsid w:val="005D0607"/>
    <w:rsid w:val="0061268D"/>
    <w:rsid w:val="00612B00"/>
    <w:rsid w:val="006155EB"/>
    <w:rsid w:val="00632908"/>
    <w:rsid w:val="006367A5"/>
    <w:rsid w:val="006415E1"/>
    <w:rsid w:val="00652E63"/>
    <w:rsid w:val="0065659E"/>
    <w:rsid w:val="00656861"/>
    <w:rsid w:val="00664F75"/>
    <w:rsid w:val="00672FBE"/>
    <w:rsid w:val="0067402B"/>
    <w:rsid w:val="006764C5"/>
    <w:rsid w:val="00681789"/>
    <w:rsid w:val="0068649B"/>
    <w:rsid w:val="0069134E"/>
    <w:rsid w:val="006A704A"/>
    <w:rsid w:val="006B65E4"/>
    <w:rsid w:val="006B6FBA"/>
    <w:rsid w:val="006D0774"/>
    <w:rsid w:val="006D449C"/>
    <w:rsid w:val="006E5DE5"/>
    <w:rsid w:val="006F5C7A"/>
    <w:rsid w:val="006F77CC"/>
    <w:rsid w:val="00700F54"/>
    <w:rsid w:val="007012AC"/>
    <w:rsid w:val="007058E0"/>
    <w:rsid w:val="00714F83"/>
    <w:rsid w:val="007237EB"/>
    <w:rsid w:val="00741A5C"/>
    <w:rsid w:val="00743413"/>
    <w:rsid w:val="00753BAA"/>
    <w:rsid w:val="00755910"/>
    <w:rsid w:val="0077317D"/>
    <w:rsid w:val="00776A96"/>
    <w:rsid w:val="007A2ACE"/>
    <w:rsid w:val="007A35F3"/>
    <w:rsid w:val="007A3CF8"/>
    <w:rsid w:val="007B115D"/>
    <w:rsid w:val="007B132B"/>
    <w:rsid w:val="007B31E9"/>
    <w:rsid w:val="007C0A6B"/>
    <w:rsid w:val="007E50F1"/>
    <w:rsid w:val="007E5124"/>
    <w:rsid w:val="007E62C6"/>
    <w:rsid w:val="007F544A"/>
    <w:rsid w:val="00803245"/>
    <w:rsid w:val="00805348"/>
    <w:rsid w:val="0080574C"/>
    <w:rsid w:val="00813123"/>
    <w:rsid w:val="00815969"/>
    <w:rsid w:val="00815B6E"/>
    <w:rsid w:val="00822CE4"/>
    <w:rsid w:val="00822E26"/>
    <w:rsid w:val="0082479A"/>
    <w:rsid w:val="00832282"/>
    <w:rsid w:val="00836F8C"/>
    <w:rsid w:val="00844700"/>
    <w:rsid w:val="008465E4"/>
    <w:rsid w:val="0085216D"/>
    <w:rsid w:val="00852B13"/>
    <w:rsid w:val="008655C7"/>
    <w:rsid w:val="00865880"/>
    <w:rsid w:val="0086793D"/>
    <w:rsid w:val="00867EF0"/>
    <w:rsid w:val="00872455"/>
    <w:rsid w:val="00872CFD"/>
    <w:rsid w:val="00874B49"/>
    <w:rsid w:val="008846A1"/>
    <w:rsid w:val="00887C33"/>
    <w:rsid w:val="00890DBB"/>
    <w:rsid w:val="00892B28"/>
    <w:rsid w:val="00893A80"/>
    <w:rsid w:val="0089541C"/>
    <w:rsid w:val="00895DCA"/>
    <w:rsid w:val="00897AB6"/>
    <w:rsid w:val="008A04BF"/>
    <w:rsid w:val="008A2691"/>
    <w:rsid w:val="008A355F"/>
    <w:rsid w:val="008A42A0"/>
    <w:rsid w:val="008A7432"/>
    <w:rsid w:val="008B32EF"/>
    <w:rsid w:val="008B3BCA"/>
    <w:rsid w:val="008C3395"/>
    <w:rsid w:val="008C5C4B"/>
    <w:rsid w:val="008D17BB"/>
    <w:rsid w:val="008D1E94"/>
    <w:rsid w:val="008E1EEB"/>
    <w:rsid w:val="008F46E4"/>
    <w:rsid w:val="00916BED"/>
    <w:rsid w:val="009251C9"/>
    <w:rsid w:val="00925B18"/>
    <w:rsid w:val="00925FA3"/>
    <w:rsid w:val="00942ACB"/>
    <w:rsid w:val="00944E08"/>
    <w:rsid w:val="00947FA9"/>
    <w:rsid w:val="00951B7C"/>
    <w:rsid w:val="009553A8"/>
    <w:rsid w:val="00961781"/>
    <w:rsid w:val="0096466D"/>
    <w:rsid w:val="00965097"/>
    <w:rsid w:val="0097314C"/>
    <w:rsid w:val="00975AF0"/>
    <w:rsid w:val="00980A52"/>
    <w:rsid w:val="00996933"/>
    <w:rsid w:val="009A1F4C"/>
    <w:rsid w:val="009A7A4E"/>
    <w:rsid w:val="009B06ED"/>
    <w:rsid w:val="009B7FD0"/>
    <w:rsid w:val="009C7605"/>
    <w:rsid w:val="009C7832"/>
    <w:rsid w:val="009D1DBF"/>
    <w:rsid w:val="009E1C75"/>
    <w:rsid w:val="009E3ECF"/>
    <w:rsid w:val="00A00FFB"/>
    <w:rsid w:val="00A232D1"/>
    <w:rsid w:val="00A23A50"/>
    <w:rsid w:val="00A23A9E"/>
    <w:rsid w:val="00A35966"/>
    <w:rsid w:val="00A41350"/>
    <w:rsid w:val="00A41527"/>
    <w:rsid w:val="00A44FE2"/>
    <w:rsid w:val="00A50D69"/>
    <w:rsid w:val="00A52B8C"/>
    <w:rsid w:val="00A66766"/>
    <w:rsid w:val="00A7267A"/>
    <w:rsid w:val="00A7330A"/>
    <w:rsid w:val="00A745B2"/>
    <w:rsid w:val="00A77431"/>
    <w:rsid w:val="00A91B7B"/>
    <w:rsid w:val="00A933DB"/>
    <w:rsid w:val="00AA3345"/>
    <w:rsid w:val="00AB56D5"/>
    <w:rsid w:val="00AB73B2"/>
    <w:rsid w:val="00AC07F5"/>
    <w:rsid w:val="00AC5D50"/>
    <w:rsid w:val="00AE2A31"/>
    <w:rsid w:val="00AF3E24"/>
    <w:rsid w:val="00AF5D99"/>
    <w:rsid w:val="00B019A7"/>
    <w:rsid w:val="00B07F2C"/>
    <w:rsid w:val="00B16968"/>
    <w:rsid w:val="00B20997"/>
    <w:rsid w:val="00B2162A"/>
    <w:rsid w:val="00B21E91"/>
    <w:rsid w:val="00B436EF"/>
    <w:rsid w:val="00B43B68"/>
    <w:rsid w:val="00B5203D"/>
    <w:rsid w:val="00B62EF5"/>
    <w:rsid w:val="00B70AB1"/>
    <w:rsid w:val="00B747F6"/>
    <w:rsid w:val="00B80266"/>
    <w:rsid w:val="00B928D7"/>
    <w:rsid w:val="00B95F11"/>
    <w:rsid w:val="00BA0A47"/>
    <w:rsid w:val="00BC22A3"/>
    <w:rsid w:val="00BC7035"/>
    <w:rsid w:val="00BD458D"/>
    <w:rsid w:val="00BD5634"/>
    <w:rsid w:val="00BE0183"/>
    <w:rsid w:val="00BE566E"/>
    <w:rsid w:val="00BE758B"/>
    <w:rsid w:val="00BE7BF6"/>
    <w:rsid w:val="00BF667B"/>
    <w:rsid w:val="00BF67A1"/>
    <w:rsid w:val="00C06E3F"/>
    <w:rsid w:val="00C06FBE"/>
    <w:rsid w:val="00C114F5"/>
    <w:rsid w:val="00C25721"/>
    <w:rsid w:val="00C259F7"/>
    <w:rsid w:val="00C27568"/>
    <w:rsid w:val="00C319D8"/>
    <w:rsid w:val="00C32659"/>
    <w:rsid w:val="00C328D5"/>
    <w:rsid w:val="00C3631C"/>
    <w:rsid w:val="00C41250"/>
    <w:rsid w:val="00C67169"/>
    <w:rsid w:val="00C760A7"/>
    <w:rsid w:val="00C7720C"/>
    <w:rsid w:val="00C82AFF"/>
    <w:rsid w:val="00C86F87"/>
    <w:rsid w:val="00C936E5"/>
    <w:rsid w:val="00CA124E"/>
    <w:rsid w:val="00CA4E1E"/>
    <w:rsid w:val="00CB0741"/>
    <w:rsid w:val="00CC2B40"/>
    <w:rsid w:val="00CC34EE"/>
    <w:rsid w:val="00CC3E87"/>
    <w:rsid w:val="00CC3F68"/>
    <w:rsid w:val="00CC5C9B"/>
    <w:rsid w:val="00CC7F3B"/>
    <w:rsid w:val="00CD1B06"/>
    <w:rsid w:val="00CD5B8C"/>
    <w:rsid w:val="00CE2A87"/>
    <w:rsid w:val="00CE4743"/>
    <w:rsid w:val="00D10454"/>
    <w:rsid w:val="00D12930"/>
    <w:rsid w:val="00D12BC8"/>
    <w:rsid w:val="00D16E21"/>
    <w:rsid w:val="00D22FCA"/>
    <w:rsid w:val="00D25EBA"/>
    <w:rsid w:val="00D305EA"/>
    <w:rsid w:val="00D32776"/>
    <w:rsid w:val="00D34AC3"/>
    <w:rsid w:val="00D359A4"/>
    <w:rsid w:val="00D431BA"/>
    <w:rsid w:val="00D552EE"/>
    <w:rsid w:val="00D6057B"/>
    <w:rsid w:val="00D6170D"/>
    <w:rsid w:val="00D83CD1"/>
    <w:rsid w:val="00D90134"/>
    <w:rsid w:val="00D9171C"/>
    <w:rsid w:val="00D94599"/>
    <w:rsid w:val="00DA3F2D"/>
    <w:rsid w:val="00DA7A48"/>
    <w:rsid w:val="00DB0097"/>
    <w:rsid w:val="00DC0465"/>
    <w:rsid w:val="00DC30E7"/>
    <w:rsid w:val="00DC48EB"/>
    <w:rsid w:val="00DC526C"/>
    <w:rsid w:val="00DD67D0"/>
    <w:rsid w:val="00DE614C"/>
    <w:rsid w:val="00DE7502"/>
    <w:rsid w:val="00DF063D"/>
    <w:rsid w:val="00E0106C"/>
    <w:rsid w:val="00E05A7E"/>
    <w:rsid w:val="00E1168F"/>
    <w:rsid w:val="00E133CD"/>
    <w:rsid w:val="00E34BF7"/>
    <w:rsid w:val="00E37E10"/>
    <w:rsid w:val="00E418AF"/>
    <w:rsid w:val="00E462D2"/>
    <w:rsid w:val="00E470B3"/>
    <w:rsid w:val="00E60236"/>
    <w:rsid w:val="00E65A29"/>
    <w:rsid w:val="00E70175"/>
    <w:rsid w:val="00E72266"/>
    <w:rsid w:val="00E74860"/>
    <w:rsid w:val="00E8567A"/>
    <w:rsid w:val="00E95CFD"/>
    <w:rsid w:val="00E97D41"/>
    <w:rsid w:val="00EB3EF4"/>
    <w:rsid w:val="00EB7887"/>
    <w:rsid w:val="00EC7178"/>
    <w:rsid w:val="00ED32A8"/>
    <w:rsid w:val="00ED45F1"/>
    <w:rsid w:val="00EE0189"/>
    <w:rsid w:val="00EE2B8E"/>
    <w:rsid w:val="00EE36BA"/>
    <w:rsid w:val="00EE7C2D"/>
    <w:rsid w:val="00EF0E32"/>
    <w:rsid w:val="00EF2B46"/>
    <w:rsid w:val="00F05B3F"/>
    <w:rsid w:val="00F06823"/>
    <w:rsid w:val="00F07ECF"/>
    <w:rsid w:val="00F133AA"/>
    <w:rsid w:val="00F155C7"/>
    <w:rsid w:val="00F16C97"/>
    <w:rsid w:val="00F214EC"/>
    <w:rsid w:val="00F23401"/>
    <w:rsid w:val="00F3080E"/>
    <w:rsid w:val="00F35A8F"/>
    <w:rsid w:val="00F44FB0"/>
    <w:rsid w:val="00F47992"/>
    <w:rsid w:val="00F51BFF"/>
    <w:rsid w:val="00F57B9C"/>
    <w:rsid w:val="00F60B43"/>
    <w:rsid w:val="00F61A1A"/>
    <w:rsid w:val="00F734AC"/>
    <w:rsid w:val="00F76ED2"/>
    <w:rsid w:val="00F77A79"/>
    <w:rsid w:val="00F81EA4"/>
    <w:rsid w:val="00F84664"/>
    <w:rsid w:val="00F85B01"/>
    <w:rsid w:val="00F86731"/>
    <w:rsid w:val="00F87C86"/>
    <w:rsid w:val="00F9151A"/>
    <w:rsid w:val="00F936EC"/>
    <w:rsid w:val="00FA068A"/>
    <w:rsid w:val="00FA07E2"/>
    <w:rsid w:val="00FB0F39"/>
    <w:rsid w:val="00FB255A"/>
    <w:rsid w:val="00FB7F56"/>
    <w:rsid w:val="00FC0B59"/>
    <w:rsid w:val="00FC3B27"/>
    <w:rsid w:val="00FE1B8F"/>
    <w:rsid w:val="00FF2011"/>
    <w:rsid w:val="00FF4C73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23">
    <w:name w:val="Body Text Indent 2"/>
    <w:basedOn w:val="a"/>
    <w:link w:val="24"/>
    <w:rsid w:val="00191B86"/>
    <w:pPr>
      <w:widowControl/>
      <w:autoSpaceDE/>
      <w:autoSpaceDN/>
      <w:adjustRightInd/>
      <w:ind w:firstLine="851"/>
    </w:pPr>
    <w:rPr>
      <w:b w:val="0"/>
      <w:bCs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191B8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Делопроизводство</cp:lastModifiedBy>
  <cp:revision>2</cp:revision>
  <cp:lastPrinted>2021-12-06T06:42:00Z</cp:lastPrinted>
  <dcterms:created xsi:type="dcterms:W3CDTF">2021-12-06T13:00:00Z</dcterms:created>
  <dcterms:modified xsi:type="dcterms:W3CDTF">2021-12-06T13:00:00Z</dcterms:modified>
</cp:coreProperties>
</file>